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6"/>
          <w:szCs w:val="26"/>
        </w:rPr>
      </w:pPr>
      <w:r w:rsidDel="00000000" w:rsidR="00000000" w:rsidRPr="00000000">
        <w:rPr>
          <w:b w:val="1"/>
          <w:bCs w:val="1"/>
          <w:sz w:val="26"/>
          <w:szCs w:val="26"/>
          <w:rtl w:val="0"/>
        </w:rPr>
        <w:t xml:space="preserve">Disyuntivas y oportunidades para el estudio social, la oferta de servicios ecosistémicos y conservación de la biodiversidad de primates en la Selva Real</w:t>
      </w:r>
    </w:p>
    <w:p w:rsidR="00000000" w:rsidDel="00000000" w:rsidP="00000000" w:rsidRDefault="00000000" w:rsidRPr="00000000" w14:paraId="00000002">
      <w:pPr>
        <w:spacing w:after="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03">
      <w:pPr>
        <w:spacing w:after="0" w:line="240" w:lineRule="auto"/>
        <w:jc w:val="center"/>
        <w:rPr>
          <w:sz w:val="22"/>
          <w:szCs w:val="22"/>
        </w:rPr>
      </w:pPr>
      <w:r w:rsidDel="00000000" w:rsidR="00000000" w:rsidRPr="00000000">
        <w:rPr>
          <w:sz w:val="22"/>
          <w:szCs w:val="22"/>
          <w:rtl w:val="0"/>
        </w:rPr>
        <w:t xml:space="preserve">Pedro Ccori </w:t>
      </w:r>
      <w:r w:rsidDel="00000000" w:rsidR="00000000" w:rsidRPr="00000000">
        <w:rPr>
          <w:sz w:val="22"/>
          <w:szCs w:val="22"/>
          <w:vertAlign w:val="superscript"/>
          <w:rtl w:val="0"/>
        </w:rPr>
        <w:t xml:space="preserve">1, </w:t>
      </w:r>
      <w:r w:rsidDel="00000000" w:rsidR="00000000" w:rsidRPr="00000000">
        <w:rPr>
          <w:sz w:val="22"/>
          <w:szCs w:val="22"/>
          <w:rtl w:val="0"/>
        </w:rPr>
        <w:t xml:space="preserve">*, Antonia Candamo </w:t>
      </w:r>
      <w:r w:rsidDel="00000000" w:rsidR="00000000" w:rsidRPr="00000000">
        <w:rPr>
          <w:sz w:val="22"/>
          <w:szCs w:val="22"/>
          <w:vertAlign w:val="superscript"/>
          <w:rtl w:val="0"/>
        </w:rPr>
        <w:t xml:space="preserve">2</w:t>
      </w:r>
      <w:r w:rsidDel="00000000" w:rsidR="00000000" w:rsidRPr="00000000">
        <w:rPr>
          <w:sz w:val="22"/>
          <w:szCs w:val="22"/>
          <w:rtl w:val="0"/>
        </w:rPr>
        <w:t xml:space="preserve">, Edgar Vivar </w:t>
      </w:r>
      <w:r w:rsidDel="00000000" w:rsidR="00000000" w:rsidRPr="00000000">
        <w:rPr>
          <w:sz w:val="22"/>
          <w:szCs w:val="22"/>
          <w:vertAlign w:val="superscript"/>
          <w:rtl w:val="0"/>
        </w:rPr>
        <w:t xml:space="preserve">3</w:t>
      </w:r>
      <w:r w:rsidDel="00000000" w:rsidR="00000000" w:rsidRPr="00000000">
        <w:rPr>
          <w:sz w:val="22"/>
          <w:szCs w:val="22"/>
          <w:rtl w:val="0"/>
        </w:rPr>
        <w:t xml:space="preserve">, Daniel Salas-Delgado </w:t>
      </w:r>
      <w:r w:rsidDel="00000000" w:rsidR="00000000" w:rsidRPr="00000000">
        <w:rPr>
          <w:sz w:val="22"/>
          <w:szCs w:val="22"/>
          <w:vertAlign w:val="superscript"/>
          <w:rtl w:val="0"/>
        </w:rPr>
        <w:t xml:space="preserve">4</w:t>
      </w:r>
      <w:r w:rsidDel="00000000" w:rsidR="00000000" w:rsidRPr="00000000">
        <w:rPr>
          <w:sz w:val="22"/>
          <w:szCs w:val="22"/>
          <w:rtl w:val="0"/>
        </w:rPr>
        <w:t xml:space="preserve">, Manuela Quispe </w:t>
      </w:r>
      <w:r w:rsidDel="00000000" w:rsidR="00000000" w:rsidRPr="00000000">
        <w:rPr>
          <w:sz w:val="22"/>
          <w:szCs w:val="22"/>
          <w:vertAlign w:val="superscript"/>
          <w:rtl w:val="0"/>
        </w:rPr>
        <w:t xml:space="preserve">1, 4</w:t>
      </w:r>
      <w:r w:rsidDel="00000000" w:rsidR="00000000" w:rsidRPr="00000000">
        <w:rPr>
          <w:rtl w:val="0"/>
        </w:rPr>
      </w:r>
    </w:p>
    <w:p w:rsidR="00000000" w:rsidDel="00000000" w:rsidP="00000000" w:rsidRDefault="00000000" w:rsidRPr="00000000" w14:paraId="00000004">
      <w:pPr>
        <w:spacing w:after="0" w:line="240" w:lineRule="auto"/>
        <w:jc w:val="center"/>
        <w:rPr>
          <w:sz w:val="22"/>
          <w:szCs w:val="22"/>
        </w:rPr>
      </w:pPr>
      <w:r w:rsidDel="00000000" w:rsidR="00000000" w:rsidRPr="00000000">
        <w:rPr>
          <w:rtl w:val="0"/>
        </w:rPr>
      </w:r>
    </w:p>
    <w:p w:rsidR="00000000" w:rsidDel="00000000" w:rsidP="00000000" w:rsidRDefault="00000000" w:rsidRPr="00000000" w14:paraId="00000005">
      <w:pPr>
        <w:spacing w:after="0" w:line="240" w:lineRule="auto"/>
        <w:rPr>
          <w:sz w:val="18"/>
          <w:szCs w:val="18"/>
        </w:rPr>
      </w:pPr>
      <w:r w:rsidDel="00000000" w:rsidR="00000000" w:rsidRPr="00000000">
        <w:rPr>
          <w:sz w:val="18"/>
          <w:szCs w:val="18"/>
          <w:vertAlign w:val="superscript"/>
          <w:rtl w:val="0"/>
        </w:rPr>
        <w:t xml:space="preserve">1</w:t>
      </w:r>
      <w:r w:rsidDel="00000000" w:rsidR="00000000" w:rsidRPr="00000000">
        <w:rPr>
          <w:sz w:val="18"/>
          <w:szCs w:val="18"/>
          <w:rtl w:val="0"/>
        </w:rPr>
        <w:t xml:space="preserve">Instituto de Investigaciones en Ecosistemas y Sustentabilidad, Universidad Nacional del Perú</w:t>
      </w:r>
    </w:p>
    <w:p w:rsidR="00000000" w:rsidDel="00000000" w:rsidP="00000000" w:rsidRDefault="00000000" w:rsidRPr="00000000" w14:paraId="00000006">
      <w:pPr>
        <w:spacing w:after="0" w:line="240" w:lineRule="auto"/>
        <w:rPr>
          <w:sz w:val="18"/>
          <w:szCs w:val="18"/>
        </w:rPr>
      </w:pPr>
      <w:r w:rsidDel="00000000" w:rsidR="00000000" w:rsidRPr="00000000">
        <w:rPr>
          <w:sz w:val="18"/>
          <w:szCs w:val="18"/>
          <w:vertAlign w:val="superscript"/>
          <w:rtl w:val="0"/>
        </w:rPr>
        <w:t xml:space="preserve">2</w:t>
      </w:r>
      <w:r w:rsidDel="00000000" w:rsidR="00000000" w:rsidRPr="00000000">
        <w:rPr>
          <w:sz w:val="18"/>
          <w:szCs w:val="18"/>
          <w:rtl w:val="0"/>
        </w:rPr>
        <w:t xml:space="preserve">Centro Andaluz de Evaluación y Seguimiento del Cambio Global, Universidad de Ciencias</w:t>
      </w:r>
    </w:p>
    <w:p w:rsidR="00000000" w:rsidDel="00000000" w:rsidP="00000000" w:rsidRDefault="00000000" w:rsidRPr="00000000" w14:paraId="00000007">
      <w:pPr>
        <w:spacing w:after="0" w:line="240" w:lineRule="auto"/>
        <w:rPr>
          <w:sz w:val="18"/>
          <w:szCs w:val="18"/>
        </w:rPr>
      </w:pPr>
      <w:r w:rsidDel="00000000" w:rsidR="00000000" w:rsidRPr="00000000">
        <w:rPr>
          <w:sz w:val="18"/>
          <w:szCs w:val="18"/>
          <w:vertAlign w:val="superscript"/>
          <w:rtl w:val="0"/>
        </w:rPr>
        <w:t xml:space="preserve">3</w:t>
      </w:r>
      <w:r w:rsidDel="00000000" w:rsidR="00000000" w:rsidRPr="00000000">
        <w:rPr>
          <w:sz w:val="18"/>
          <w:szCs w:val="18"/>
          <w:rtl w:val="0"/>
        </w:rPr>
        <w:t xml:space="preserve">Facultad de Ciencias, Universidad de la Amazonia</w:t>
      </w:r>
    </w:p>
    <w:p w:rsidR="00000000" w:rsidDel="00000000" w:rsidP="00000000" w:rsidRDefault="00000000" w:rsidRPr="00000000" w14:paraId="00000008">
      <w:pPr>
        <w:spacing w:after="0" w:line="240" w:lineRule="auto"/>
        <w:rPr>
          <w:sz w:val="18"/>
          <w:szCs w:val="18"/>
        </w:rPr>
      </w:pPr>
      <w:r w:rsidDel="00000000" w:rsidR="00000000" w:rsidRPr="00000000">
        <w:rPr>
          <w:sz w:val="18"/>
          <w:szCs w:val="18"/>
          <w:vertAlign w:val="superscript"/>
          <w:rtl w:val="0"/>
        </w:rPr>
        <w:t xml:space="preserve">4</w:t>
      </w:r>
      <w:r w:rsidDel="00000000" w:rsidR="00000000" w:rsidRPr="00000000">
        <w:rPr>
          <w:sz w:val="18"/>
          <w:szCs w:val="18"/>
          <w:rtl w:val="0"/>
        </w:rPr>
        <w:t xml:space="preserve">Instituto de Investigaciones Económicas, Universidad de la Nación Aymara </w:t>
      </w:r>
    </w:p>
    <w:p w:rsidR="00000000" w:rsidDel="00000000" w:rsidP="00000000" w:rsidRDefault="00000000" w:rsidRPr="00000000" w14:paraId="00000009">
      <w:pPr>
        <w:spacing w:after="0" w:line="240" w:lineRule="auto"/>
        <w:rPr>
          <w:sz w:val="18"/>
          <w:szCs w:val="18"/>
        </w:rPr>
      </w:pPr>
      <w:r w:rsidDel="00000000" w:rsidR="00000000" w:rsidRPr="00000000">
        <w:rPr>
          <w:b w:val="1"/>
          <w:bCs w:val="1"/>
          <w:sz w:val="18"/>
          <w:szCs w:val="18"/>
          <w:rtl w:val="0"/>
        </w:rPr>
        <w:t xml:space="preserve">*Email para correspondencia:</w:t>
      </w:r>
      <w:r w:rsidDel="00000000" w:rsidR="00000000" w:rsidRPr="00000000">
        <w:rPr>
          <w:sz w:val="18"/>
          <w:szCs w:val="18"/>
          <w:rtl w:val="0"/>
        </w:rPr>
        <w:t xml:space="preserve"> </w:t>
      </w:r>
      <w:hyperlink r:id="rId7">
        <w:r w:rsidDel="00000000" w:rsidR="00000000" w:rsidRPr="00000000">
          <w:rPr>
            <w:color w:val="467886"/>
            <w:sz w:val="18"/>
            <w:szCs w:val="18"/>
            <w:u w:val="single"/>
            <w:rtl w:val="0"/>
          </w:rPr>
          <w:t xml:space="preserve">p_parker@undp.edu.pe</w:t>
        </w:r>
      </w:hyperlink>
      <w:r w:rsidDel="00000000" w:rsidR="00000000" w:rsidRPr="00000000">
        <w:rPr>
          <w:rtl w:val="0"/>
        </w:rPr>
      </w:r>
    </w:p>
    <w:p w:rsidR="00000000" w:rsidDel="00000000" w:rsidP="00000000" w:rsidRDefault="00000000" w:rsidRPr="00000000" w14:paraId="0000000A">
      <w:pPr>
        <w:spacing w:after="0" w:line="24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0B">
      <w:pPr>
        <w:spacing w:after="0" w:line="240" w:lineRule="auto"/>
        <w:rPr>
          <w:sz w:val="22"/>
          <w:szCs w:val="22"/>
        </w:rPr>
      </w:pPr>
      <w:r w:rsidDel="00000000" w:rsidR="00000000" w:rsidRPr="00000000">
        <w:rPr>
          <w:b w:val="1"/>
          <w:bCs w:val="1"/>
          <w:color w:val="b7b7b7"/>
          <w:sz w:val="22"/>
          <w:szCs w:val="22"/>
          <w:rtl w:val="0"/>
        </w:rPr>
        <w:t xml:space="preserve">[Introducción]</w:t>
      </w:r>
      <w:r w:rsidDel="00000000" w:rsidR="00000000" w:rsidRPr="00000000">
        <w:rPr>
          <w:sz w:val="22"/>
          <w:szCs w:val="22"/>
          <w:rtl w:val="0"/>
        </w:rPr>
        <w:t xml:space="preserve"> La Selva Real constituye un ecosistema crítico donde la presión antrópica amenaza la viabilidad de las poblaciones de primates neotropicales y la estabilidad de las funciones ecológicas que sostienen. A pesar de su importancia, existe un vacío de conocimiento sobre cómo la percepción social y las dinámicas de uso de suelo influyen en la provisión de servicios ecosistémicos. El objetivo de este estudio fue evaluar el estado de conservación de la biodiversidad de primates y su vínculo con los beneficios ecosistémicos percibidos por las comunidades locales. </w:t>
      </w:r>
      <w:r w:rsidDel="00000000" w:rsidR="00000000" w:rsidRPr="00000000">
        <w:rPr>
          <w:b w:val="1"/>
          <w:bCs w:val="1"/>
          <w:color w:val="cccccc"/>
          <w:sz w:val="22"/>
          <w:szCs w:val="22"/>
          <w:rtl w:val="0"/>
        </w:rPr>
        <w:t xml:space="preserve">[Metodología]</w:t>
      </w:r>
      <w:r w:rsidDel="00000000" w:rsidR="00000000" w:rsidRPr="00000000">
        <w:rPr>
          <w:sz w:val="22"/>
          <w:szCs w:val="22"/>
          <w:rtl w:val="0"/>
        </w:rPr>
        <w:t xml:space="preserve"> Se empleó un diseño transversal con un enfoque mixto. La muestra incluyó censos poblacionales mediante transectos lineales en 500 hectáreas de bosque fragmentado y 120 entrevistas semiestructuradas a pobladores locales. Se utilizaron modelos de ocupación para estimar la densidad de primates y análisis cualitativos de redes para mapear la oferta de servicios ecosistémicos (regulación hídrica y dispersión de semillas). </w:t>
      </w:r>
      <w:r w:rsidDel="00000000" w:rsidR="00000000" w:rsidRPr="00000000">
        <w:rPr>
          <w:b w:val="1"/>
          <w:bCs w:val="1"/>
          <w:color w:val="cccccc"/>
          <w:sz w:val="22"/>
          <w:szCs w:val="22"/>
          <w:rtl w:val="0"/>
        </w:rPr>
        <w:t xml:space="preserve">[Resultados]</w:t>
      </w:r>
      <w:r w:rsidDel="00000000" w:rsidR="00000000" w:rsidRPr="00000000">
        <w:rPr>
          <w:sz w:val="22"/>
          <w:szCs w:val="22"/>
          <w:rtl w:val="0"/>
        </w:rPr>
        <w:t xml:space="preserve"> Se identificó la presencia de tres especies clave con una densidad promedio de 4.2 grupos/km², observándose una reducción del 30% en la ocupación en áreas con alta fragmentación. Los datos indican que el 75% de los residentes reconoce a los primates como dispersores esenciales, aunque el avance de la frontera agrícola se percibe como la principal disyuntiva económica frente a la conservación del hábitat. </w:t>
      </w:r>
      <w:r w:rsidDel="00000000" w:rsidR="00000000" w:rsidRPr="00000000">
        <w:rPr>
          <w:b w:val="1"/>
          <w:bCs w:val="1"/>
          <w:color w:val="cccccc"/>
          <w:sz w:val="22"/>
          <w:szCs w:val="22"/>
          <w:rtl w:val="0"/>
        </w:rPr>
        <w:t xml:space="preserve">[Discusión]</w:t>
      </w:r>
      <w:r w:rsidDel="00000000" w:rsidR="00000000" w:rsidRPr="00000000">
        <w:rPr>
          <w:sz w:val="22"/>
          <w:szCs w:val="22"/>
          <w:rtl w:val="0"/>
        </w:rPr>
        <w:t xml:space="preserve"> Los hallazgos sugieren que la persistencia de los primates en la Selva Real depende de una gestión que integre el conocimiento local con incentivos por servicios ambientales. Se concluye que las oportunidades de conservación residen en el fortalecimiento de corredores biológicos comunitarios. Este estudio subraya la necesidad de políticas que mitiguen el conflicto entre desarrollo agrícola y biodiversidad para asegurar la resiliencia del ecosistema.</w:t>
      </w:r>
    </w:p>
    <w:p w:rsidR="00000000" w:rsidDel="00000000" w:rsidP="00000000" w:rsidRDefault="00000000" w:rsidRPr="00000000" w14:paraId="0000000C">
      <w:pPr>
        <w:spacing w:after="0" w:line="240" w:lineRule="auto"/>
        <w:rPr>
          <w:sz w:val="22"/>
          <w:szCs w:val="22"/>
        </w:rPr>
      </w:pPr>
      <w:r w:rsidDel="00000000" w:rsidR="00000000" w:rsidRPr="00000000">
        <w:rPr>
          <w:rtl w:val="0"/>
        </w:rPr>
      </w:r>
    </w:p>
    <w:p w:rsidR="00000000" w:rsidDel="00000000" w:rsidP="00000000" w:rsidRDefault="00000000" w:rsidRPr="00000000" w14:paraId="0000000D">
      <w:pPr>
        <w:spacing w:after="0" w:line="240" w:lineRule="auto"/>
        <w:rPr>
          <w:sz w:val="22"/>
          <w:szCs w:val="22"/>
        </w:rPr>
      </w:pPr>
      <w:r w:rsidDel="00000000" w:rsidR="00000000" w:rsidRPr="00000000">
        <w:rPr>
          <w:b w:val="1"/>
          <w:bCs w:val="1"/>
          <w:sz w:val="22"/>
          <w:szCs w:val="22"/>
          <w:rtl w:val="0"/>
        </w:rPr>
        <w:t xml:space="preserve">Palabras clave:</w:t>
      </w:r>
      <w:r w:rsidDel="00000000" w:rsidR="00000000" w:rsidRPr="00000000">
        <w:rPr>
          <w:sz w:val="22"/>
          <w:szCs w:val="22"/>
          <w:rtl w:val="0"/>
        </w:rPr>
        <w:t xml:space="preserve"> Conservación de primates, Servicios ecosistémicos,  Fragmentación de hábitat, Ecología social, Selva Real</w:t>
      </w:r>
    </w:p>
    <w:p w:rsidR="00000000" w:rsidDel="00000000" w:rsidP="00000000" w:rsidRDefault="00000000" w:rsidRPr="00000000" w14:paraId="0000000E">
      <w:pPr>
        <w:spacing w:after="0" w:line="240" w:lineRule="auto"/>
        <w:rPr>
          <w:b w:val="1"/>
          <w:bCs w:val="1"/>
          <w:sz w:val="22"/>
          <w:szCs w:val="22"/>
        </w:rPr>
      </w:pPr>
      <w:r w:rsidDel="00000000" w:rsidR="00000000" w:rsidRPr="00000000">
        <w:rPr>
          <w:rtl w:val="0"/>
        </w:rPr>
      </w:r>
    </w:p>
    <w:p w:rsidR="00000000" w:rsidDel="00000000" w:rsidP="00000000" w:rsidRDefault="00000000" w:rsidRPr="00000000" w14:paraId="0000000F">
      <w:pPr>
        <w:spacing w:line="240" w:lineRule="auto"/>
        <w:rPr>
          <w:sz w:val="22"/>
          <w:szCs w:val="22"/>
        </w:rPr>
      </w:pPr>
      <w:r w:rsidDel="00000000" w:rsidR="00000000" w:rsidRPr="00000000">
        <w:rPr>
          <w:b w:val="1"/>
          <w:bCs w:val="1"/>
          <w:sz w:val="22"/>
          <w:szCs w:val="22"/>
          <w:rtl w:val="0"/>
        </w:rPr>
        <w:t xml:space="preserve">Localidad/Comunidad de estudio: </w:t>
      </w:r>
      <w:r w:rsidDel="00000000" w:rsidR="00000000" w:rsidRPr="00000000">
        <w:rPr>
          <w:sz w:val="22"/>
          <w:szCs w:val="22"/>
          <w:rtl w:val="0"/>
        </w:rPr>
        <w:t xml:space="preserve">Comunidad Nativa El Jaguar</w:t>
      </w:r>
      <w:r w:rsidDel="00000000" w:rsidR="00000000" w:rsidRPr="00000000">
        <w:rPr>
          <w:b w:val="1"/>
          <w:bCs w:val="1"/>
          <w:sz w:val="22"/>
          <w:szCs w:val="22"/>
          <w:rtl w:val="0"/>
        </w:rPr>
        <w:t xml:space="preserve">, </w:t>
      </w:r>
      <w:r w:rsidDel="00000000" w:rsidR="00000000" w:rsidRPr="00000000">
        <w:rPr>
          <w:sz w:val="22"/>
          <w:szCs w:val="22"/>
          <w:rtl w:val="0"/>
        </w:rPr>
        <w:t xml:space="preserve">Provincia, Departamento, Perú.</w:t>
      </w:r>
    </w:p>
    <w:p w:rsidR="00000000" w:rsidDel="00000000" w:rsidP="00000000" w:rsidRDefault="00000000" w:rsidRPr="00000000" w14:paraId="00000010">
      <w:pPr>
        <w:spacing w:line="240" w:lineRule="auto"/>
        <w:rPr>
          <w:b w:val="1"/>
          <w:bCs w:val="1"/>
          <w:color w:val="cccccc"/>
          <w:sz w:val="22"/>
          <w:szCs w:val="22"/>
        </w:rPr>
      </w:pPr>
      <w:r w:rsidDel="00000000" w:rsidR="00000000" w:rsidRPr="00000000">
        <w:rPr>
          <w:b w:val="1"/>
          <w:bCs w:val="1"/>
          <w:sz w:val="22"/>
          <w:szCs w:val="22"/>
          <w:rtl w:val="0"/>
        </w:rPr>
        <w:t xml:space="preserve">Síntesis en lengua originaria: </w:t>
      </w:r>
      <w:r w:rsidDel="00000000" w:rsidR="00000000" w:rsidRPr="00000000">
        <w:rPr>
          <w:b w:val="1"/>
          <w:bCs w:val="1"/>
          <w:color w:val="cccccc"/>
          <w:sz w:val="22"/>
          <w:szCs w:val="22"/>
          <w:rtl w:val="0"/>
        </w:rPr>
        <w:t xml:space="preserve">[Aquí puede escribir una síntesis del trabajo en su lengua originaria, en caso de no ser requerido, eliminar este subtítulo.]</w:t>
      </w:r>
    </w:p>
    <w:p w:rsidR="00000000" w:rsidDel="00000000" w:rsidP="00000000" w:rsidRDefault="00000000" w:rsidRPr="00000000" w14:paraId="00000011">
      <w:pPr>
        <w:pStyle w:val="Heading3"/>
        <w:keepNext w:val="0"/>
        <w:keepLines w:val="0"/>
        <w:spacing w:before="280" w:line="240" w:lineRule="auto"/>
        <w:rPr>
          <w:b w:val="1"/>
          <w:bCs w:val="1"/>
          <w:color w:val="ff0000"/>
          <w:sz w:val="26"/>
          <w:szCs w:val="26"/>
        </w:rPr>
      </w:pPr>
      <w:bookmarkStart w:colFirst="0" w:colLast="0" w:name="_heading=h.lmari235csqu" w:id="0"/>
      <w:bookmarkEnd w:id="0"/>
      <w:r w:rsidDel="00000000" w:rsidR="00000000" w:rsidRPr="00000000">
        <w:rPr>
          <w:b w:val="1"/>
          <w:bCs w:val="1"/>
          <w:color w:val="ff0000"/>
          <w:sz w:val="26"/>
          <w:szCs w:val="26"/>
          <w:rtl w:val="0"/>
        </w:rPr>
        <w:t xml:space="preserve">Instrucciones de formato para la versión final:</w:t>
      </w:r>
    </w:p>
    <w:p w:rsidR="00000000" w:rsidDel="00000000" w:rsidP="00000000" w:rsidRDefault="00000000" w:rsidRPr="00000000" w14:paraId="00000012">
      <w:pPr>
        <w:spacing w:after="240" w:before="240" w:line="240" w:lineRule="auto"/>
        <w:ind w:left="600" w:right="600" w:firstLine="0"/>
        <w:rPr>
          <w:color w:val="ff0000"/>
          <w:sz w:val="22"/>
          <w:szCs w:val="22"/>
        </w:rPr>
      </w:pPr>
      <w:r w:rsidDel="00000000" w:rsidR="00000000" w:rsidRPr="00000000">
        <w:rPr>
          <w:b w:val="1"/>
          <w:bCs w:val="1"/>
          <w:color w:val="ff0000"/>
          <w:sz w:val="22"/>
          <w:szCs w:val="22"/>
          <w:rtl w:val="0"/>
        </w:rPr>
        <w:t xml:space="preserve">Nota técnica:</w:t>
      </w:r>
      <w:r w:rsidDel="00000000" w:rsidR="00000000" w:rsidRPr="00000000">
        <w:rPr>
          <w:color w:val="ff0000"/>
          <w:sz w:val="22"/>
          <w:szCs w:val="22"/>
          <w:rtl w:val="0"/>
        </w:rPr>
        <w:t xml:space="preserve"> El cuerpo del resumen debe mantener la estructura técnica solicitada, pero se debe asegurar la limpieza del documento siguiendo estos criterios:</w:t>
      </w:r>
    </w:p>
    <w:p w:rsidR="00000000" w:rsidDel="00000000" w:rsidP="00000000" w:rsidRDefault="00000000" w:rsidRPr="00000000" w14:paraId="00000013">
      <w:pPr>
        <w:numPr>
          <w:ilvl w:val="0"/>
          <w:numId w:val="1"/>
        </w:numPr>
        <w:spacing w:after="0" w:afterAutospacing="0" w:before="240" w:line="240" w:lineRule="auto"/>
        <w:ind w:left="1320" w:right="600" w:hanging="360"/>
        <w:rPr>
          <w:color w:val="ff0000"/>
          <w:sz w:val="22"/>
          <w:szCs w:val="22"/>
        </w:rPr>
      </w:pPr>
      <w:r w:rsidDel="00000000" w:rsidR="00000000" w:rsidRPr="00000000">
        <w:rPr>
          <w:b w:val="1"/>
          <w:bCs w:val="1"/>
          <w:color w:val="ff0000"/>
          <w:sz w:val="22"/>
          <w:szCs w:val="22"/>
          <w:rtl w:val="0"/>
        </w:rPr>
        <w:t xml:space="preserve">Eliminar etiquetas de sección:</w:t>
      </w:r>
      <w:r w:rsidDel="00000000" w:rsidR="00000000" w:rsidRPr="00000000">
        <w:rPr>
          <w:color w:val="ff0000"/>
          <w:sz w:val="22"/>
          <w:szCs w:val="22"/>
          <w:rtl w:val="0"/>
        </w:rPr>
        <w:t xml:space="preserve"> Borrar los identificadores entre paréntesis o llaves (e.g., </w:t>
      </w:r>
      <w:r w:rsidDel="00000000" w:rsidR="00000000" w:rsidRPr="00000000">
        <w:rPr>
          <w:i w:val="1"/>
          <w:iCs w:val="1"/>
          <w:color w:val="ff0000"/>
          <w:sz w:val="22"/>
          <w:szCs w:val="22"/>
          <w:rtl w:val="0"/>
        </w:rPr>
        <w:t xml:space="preserve">(Introducción)</w:t>
      </w:r>
      <w:r w:rsidDel="00000000" w:rsidR="00000000" w:rsidRPr="00000000">
        <w:rPr>
          <w:color w:val="ff0000"/>
          <w:sz w:val="22"/>
          <w:szCs w:val="22"/>
          <w:rtl w:val="0"/>
        </w:rPr>
        <w:t xml:space="preserve">, </w:t>
      </w:r>
      <w:r w:rsidDel="00000000" w:rsidR="00000000" w:rsidRPr="00000000">
        <w:rPr>
          <w:i w:val="1"/>
          <w:iCs w:val="1"/>
          <w:color w:val="ff0000"/>
          <w:sz w:val="22"/>
          <w:szCs w:val="22"/>
          <w:rtl w:val="0"/>
        </w:rPr>
        <w:t xml:space="preserve">(Metodología)</w:t>
      </w:r>
      <w:r w:rsidDel="00000000" w:rsidR="00000000" w:rsidRPr="00000000">
        <w:rPr>
          <w:color w:val="ff0000"/>
          <w:sz w:val="22"/>
          <w:szCs w:val="22"/>
          <w:rtl w:val="0"/>
        </w:rPr>
        <w:t xml:space="preserve">) para permitir una lectura fluida y continua del párrafo.</w:t>
      </w:r>
    </w:p>
    <w:p w:rsidR="00000000" w:rsidDel="00000000" w:rsidP="00000000" w:rsidRDefault="00000000" w:rsidRPr="00000000" w14:paraId="00000014">
      <w:pPr>
        <w:numPr>
          <w:ilvl w:val="0"/>
          <w:numId w:val="1"/>
        </w:numPr>
        <w:spacing w:after="240" w:before="0" w:beforeAutospacing="0" w:line="240" w:lineRule="auto"/>
        <w:ind w:left="1320" w:right="600" w:hanging="360"/>
        <w:rPr>
          <w:color w:val="ff0000"/>
          <w:sz w:val="22"/>
          <w:szCs w:val="22"/>
        </w:rPr>
      </w:pPr>
      <w:r w:rsidDel="00000000" w:rsidR="00000000" w:rsidRPr="00000000">
        <w:rPr>
          <w:b w:val="1"/>
          <w:bCs w:val="1"/>
          <w:color w:val="ff0000"/>
          <w:sz w:val="22"/>
          <w:szCs w:val="22"/>
          <w:rtl w:val="0"/>
        </w:rPr>
        <w:t xml:space="preserve">Depuración de metadatos:</w:t>
      </w:r>
      <w:r w:rsidDel="00000000" w:rsidR="00000000" w:rsidRPr="00000000">
        <w:rPr>
          <w:color w:val="ff0000"/>
          <w:sz w:val="22"/>
          <w:szCs w:val="22"/>
          <w:rtl w:val="0"/>
        </w:rPr>
        <w:t xml:space="preserve"> Eliminar cualquier línea de instrucción técnica, guías de estructura o comentarios adicionales al finalizar la edición del resumen.</w:t>
      </w:r>
    </w:p>
    <w:p w:rsidR="00000000" w:rsidDel="00000000" w:rsidP="00000000" w:rsidRDefault="00000000" w:rsidRPr="00000000" w14:paraId="00000015">
      <w:pPr>
        <w:spacing w:line="240" w:lineRule="auto"/>
        <w:rPr>
          <w:color w:val="ff0000"/>
          <w:sz w:val="22"/>
          <w:szCs w:val="22"/>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P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_parker@ummsm.edu.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SJRTtgrbxD+gYgTX8SyZ1vVw==">CgMxLjAyDmgubG1hcmkyMzVjc3F1OAByITFHNDM1U281N0Q5UnZCNExCUko0UHBSY0xiRW53dTlKeg==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